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3 - Sync O1&lt;O2 O4&lt;O5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Sync VCO1 by VCO2, VCO4 by VCO5</w:t>
      </w:r>
    </w:p>
    <w:p>
      <w:pPr>
        <w:pStyle w:val="Body"/>
        <w:bidi w:val="0"/>
      </w:pPr>
      <w:r>
        <w:rPr>
          <w:rtl w:val="0"/>
        </w:rPr>
        <w:t>Change Coarse, Change VCO2 and VCO5 steps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Fixed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50.00ST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38.00ST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b w:val="1"/>
                <w:bCs w:val="1"/>
                <w:rtl w:val="0"/>
                <w:lang w:val="en-US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1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right"/>
              <w:outlineLvl w:val="9"/>
              <w:rPr>
                <w:rtl w:val="0"/>
              </w:rPr>
            </w:pPr>
            <w:r>
              <w:rPr>
                <w:rFonts w:ascii="Helvetica Neue" w:cs="Arial Unicode MS" w:hAnsi="Helvetica Neue" w:eastAsia="Arial Unicode M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